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6C00D" w14:textId="77777777" w:rsidR="004C5A85" w:rsidRPr="0017423D" w:rsidRDefault="004C5A85"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Pr="0017423D"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1B4F3203" w:rsidR="004C5A85" w:rsidRPr="00955BDF" w:rsidRDefault="00B84A46" w:rsidP="00445962">
      <w:pPr>
        <w:tabs>
          <w:tab w:val="left" w:pos="990"/>
        </w:tabs>
        <w:spacing w:after="80" w:line="264" w:lineRule="auto"/>
        <w:rPr>
          <w:rFonts w:ascii="Barlow" w:hAnsi="Barlow" w:cs="Arial"/>
        </w:rPr>
      </w:pPr>
      <w:r>
        <w:rPr>
          <w:rFonts w:ascii="Barlow" w:hAnsi="Barlow" w:cs="Arial"/>
        </w:rPr>
        <w:t>October 3</w:t>
      </w:r>
      <w:r w:rsidR="004C5A85" w:rsidRPr="00955BDF">
        <w:rPr>
          <w:rFonts w:ascii="Barlow" w:hAnsi="Barlow" w:cs="Arial"/>
        </w:rPr>
        <w:t>, 2024</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64684953" w14:textId="77777777" w:rsidR="004C5A85" w:rsidRDefault="004C5A85"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Pr="002179E5">
          <w:rPr>
            <w:rStyle w:val="Hyperlink"/>
            <w:rFonts w:ascii="Barlow" w:hAnsi="Barlow" w:cs="Arial"/>
          </w:rPr>
          <w:t>BRowan@AsphaltPavement.org</w:t>
        </w:r>
      </w:hyperlink>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03CD0099" w14:textId="77777777" w:rsidR="004C5A85" w:rsidRPr="0017423D" w:rsidRDefault="004C5A85" w:rsidP="0017423D">
      <w:pPr>
        <w:spacing w:after="160" w:line="264" w:lineRule="auto"/>
        <w:rPr>
          <w:rFonts w:ascii="Barlow" w:hAnsi="Barlow" w:cs="Arial"/>
        </w:rPr>
      </w:pPr>
    </w:p>
    <w:p w14:paraId="6A9CA181" w14:textId="038E89C3" w:rsidR="004C5A85" w:rsidRDefault="00B84A46" w:rsidP="00B84A46">
      <w:pPr>
        <w:rPr>
          <w:rFonts w:ascii="Barlow" w:hAnsi="Barlow" w:cs="Arial"/>
          <w:b/>
          <w:bCs/>
          <w:sz w:val="36"/>
          <w:szCs w:val="36"/>
        </w:rPr>
      </w:pPr>
      <w:r w:rsidRPr="00B84A46">
        <w:rPr>
          <w:rFonts w:ascii="Barlow" w:hAnsi="Barlow" w:cs="Arial"/>
          <w:b/>
          <w:bCs/>
          <w:sz w:val="36"/>
          <w:szCs w:val="36"/>
        </w:rPr>
        <w:t>36 Funding Partners, 9 Research Partners Power Asphalt Pavement Net Zero Initiative</w:t>
      </w:r>
    </w:p>
    <w:p w14:paraId="4DD2381A" w14:textId="77777777" w:rsidR="00B84A46" w:rsidRDefault="00B84A46" w:rsidP="00B84A46">
      <w:pPr>
        <w:rPr>
          <w:rFonts w:ascii="Barlow" w:hAnsi="Barlow" w:cs="Arial"/>
          <w:i/>
          <w:iCs/>
          <w:sz w:val="28"/>
          <w:szCs w:val="28"/>
        </w:rPr>
      </w:pPr>
    </w:p>
    <w:p w14:paraId="6F6A4218" w14:textId="78CC39CC" w:rsidR="00B84A46" w:rsidRDefault="00B84A46" w:rsidP="00B84A46">
      <w:pPr>
        <w:rPr>
          <w:rFonts w:ascii="Barlow" w:hAnsi="Barlow" w:cs="Arial"/>
          <w:i/>
          <w:iCs/>
          <w:sz w:val="28"/>
          <w:szCs w:val="28"/>
        </w:rPr>
      </w:pPr>
      <w:r w:rsidRPr="00B84A46">
        <w:rPr>
          <w:rFonts w:ascii="Barlow" w:hAnsi="Barlow" w:cs="Arial"/>
          <w:i/>
          <w:iCs/>
          <w:sz w:val="28"/>
          <w:szCs w:val="28"/>
        </w:rPr>
        <w:t>The Road Forward, a Vision for Net Zero Pavements, Speeds into Fourth Year with Sustained Support from Asphalt Producers, R&amp;D Community, and Supporting Industries</w:t>
      </w:r>
    </w:p>
    <w:p w14:paraId="016EA2E3" w14:textId="77777777" w:rsidR="00B84A46" w:rsidRPr="00B84A46" w:rsidRDefault="00B84A46" w:rsidP="00B84A46">
      <w:pPr>
        <w:rPr>
          <w:rFonts w:ascii="Barlow" w:hAnsi="Barlow" w:cs="Arial"/>
          <w:i/>
          <w:iCs/>
          <w:sz w:val="28"/>
          <w:szCs w:val="28"/>
        </w:rPr>
      </w:pPr>
    </w:p>
    <w:p w14:paraId="1DF5668E" w14:textId="77777777" w:rsidR="00B84A46" w:rsidRDefault="004C5A85" w:rsidP="00B84A46">
      <w:pPr>
        <w:rPr>
          <w:rFonts w:ascii="Barlow" w:hAnsi="Barlow"/>
          <w:sz w:val="24"/>
          <w:szCs w:val="24"/>
        </w:rPr>
      </w:pPr>
      <w:r w:rsidRPr="00FA09BF">
        <w:rPr>
          <w:rFonts w:ascii="Barlow" w:hAnsi="Barlow"/>
          <w:sz w:val="24"/>
          <w:szCs w:val="24"/>
        </w:rPr>
        <w:t>GREENBELT, MD—</w:t>
      </w:r>
      <w:r w:rsidR="00B84A46" w:rsidRPr="00B84A46">
        <w:rPr>
          <w:rFonts w:ascii="Barlow" w:hAnsi="Barlow"/>
          <w:sz w:val="24"/>
          <w:szCs w:val="24"/>
        </w:rPr>
        <w:t xml:space="preserve">The road to net zero asphalt pavements is revving up. The Road Forward, that is. </w:t>
      </w:r>
    </w:p>
    <w:p w14:paraId="52058A0C" w14:textId="77777777" w:rsidR="00B84A46" w:rsidRDefault="00B84A46" w:rsidP="00B84A46">
      <w:pPr>
        <w:rPr>
          <w:rFonts w:ascii="Barlow" w:hAnsi="Barlow"/>
          <w:sz w:val="24"/>
          <w:szCs w:val="24"/>
        </w:rPr>
      </w:pPr>
    </w:p>
    <w:p w14:paraId="6E4870CD" w14:textId="6A6C2648" w:rsidR="00B84A46" w:rsidRDefault="00B84A46" w:rsidP="00B84A46">
      <w:pPr>
        <w:rPr>
          <w:rFonts w:ascii="Barlow" w:hAnsi="Barlow"/>
          <w:sz w:val="24"/>
          <w:szCs w:val="24"/>
        </w:rPr>
      </w:pPr>
      <w:r w:rsidRPr="00B84A46">
        <w:rPr>
          <w:rFonts w:ascii="Barlow" w:hAnsi="Barlow"/>
          <w:sz w:val="24"/>
          <w:szCs w:val="24"/>
        </w:rPr>
        <w:t>Launched by the National Asphalt Pavement Association (NAPA) in January 2022 on behalf of its 1,100 members and the industry responsible for building and maintaining some 94% of US roadway surfaces, The Road Forward represents the industry’s vision to reduce carbon emissions in the production and construction of those pavements by 2050. As the program nears the end of its three-year mark, the team behind the effort is not letting up.</w:t>
      </w:r>
    </w:p>
    <w:p w14:paraId="10A99784" w14:textId="77777777" w:rsidR="00B84A46" w:rsidRPr="00B84A46" w:rsidRDefault="00B84A46" w:rsidP="00B84A46">
      <w:pPr>
        <w:rPr>
          <w:rFonts w:ascii="Barlow" w:hAnsi="Barlow"/>
          <w:sz w:val="24"/>
          <w:szCs w:val="24"/>
        </w:rPr>
      </w:pPr>
    </w:p>
    <w:p w14:paraId="6C1C6D78" w14:textId="77777777" w:rsidR="00B84A46" w:rsidRDefault="00B84A46" w:rsidP="00B84A46">
      <w:pPr>
        <w:rPr>
          <w:rFonts w:ascii="Barlow" w:hAnsi="Barlow"/>
          <w:sz w:val="24"/>
          <w:szCs w:val="24"/>
        </w:rPr>
      </w:pPr>
      <w:r w:rsidRPr="00B84A46">
        <w:rPr>
          <w:rFonts w:ascii="Barlow" w:hAnsi="Barlow"/>
          <w:sz w:val="24"/>
          <w:szCs w:val="24"/>
        </w:rPr>
        <w:t>“Four years ago, NAPA leadership recognized the importance of creating industry goals to chart a sustainable path forward for the industry,” remarked J. Richard Willis, PhD, NAPA Vice President for Engineering, Research, &amp; Technology. “Continued member support of The Road Forward empowers asphalt pavement industry stakeholders to play an active role in shaping the national dialogue on carbon emission goals in road construction. It’s easier to stay prepared than to get prepared, and as our coalition grows, so does our ability to head off specifications and restrictions that could negatively impact the industry.”</w:t>
      </w:r>
    </w:p>
    <w:p w14:paraId="3B33271B" w14:textId="77777777" w:rsidR="00B84A46" w:rsidRPr="00B84A46" w:rsidRDefault="00B84A46" w:rsidP="00B84A46">
      <w:pPr>
        <w:rPr>
          <w:rFonts w:ascii="Barlow" w:hAnsi="Barlow"/>
          <w:sz w:val="24"/>
          <w:szCs w:val="24"/>
        </w:rPr>
      </w:pPr>
    </w:p>
    <w:p w14:paraId="19A07E52" w14:textId="77777777" w:rsidR="00B84A46" w:rsidRDefault="00B84A46" w:rsidP="00B84A46">
      <w:pPr>
        <w:rPr>
          <w:rFonts w:ascii="Barlow" w:hAnsi="Barlow"/>
          <w:sz w:val="24"/>
          <w:szCs w:val="24"/>
        </w:rPr>
      </w:pPr>
      <w:r w:rsidRPr="00B84A46">
        <w:rPr>
          <w:rFonts w:ascii="Barlow" w:hAnsi="Barlow"/>
          <w:sz w:val="24"/>
          <w:szCs w:val="24"/>
        </w:rPr>
        <w:t>The Road Forward is excelling because it was designed by members and is widely supported by the industry. To date, 36 NAPA member companies of all types and sizes have signed on and stayed on. The first two to do so were Peckham Industries and Cargill Asphalt Solutions.</w:t>
      </w:r>
    </w:p>
    <w:p w14:paraId="4B8BD2D8" w14:textId="77777777" w:rsidR="00B84A46" w:rsidRPr="00B84A46" w:rsidRDefault="00B84A46" w:rsidP="00B84A46">
      <w:pPr>
        <w:rPr>
          <w:rFonts w:ascii="Barlow" w:hAnsi="Barlow"/>
          <w:sz w:val="24"/>
          <w:szCs w:val="24"/>
        </w:rPr>
      </w:pPr>
    </w:p>
    <w:p w14:paraId="3D1ACEA8" w14:textId="77777777" w:rsidR="00B84A46" w:rsidRDefault="00B84A46" w:rsidP="00B84A46">
      <w:pPr>
        <w:rPr>
          <w:rFonts w:ascii="Barlow" w:hAnsi="Barlow"/>
          <w:sz w:val="24"/>
          <w:szCs w:val="24"/>
        </w:rPr>
      </w:pPr>
      <w:r w:rsidRPr="00B84A46">
        <w:rPr>
          <w:rFonts w:ascii="Barlow" w:hAnsi="Barlow"/>
          <w:sz w:val="24"/>
          <w:szCs w:val="24"/>
        </w:rPr>
        <w:t>“As an asphalt mix producer, Peckham is excited to see the continued efforts to make The Road Forward accessible to all contractors across the country,” said Will Hadeka, General Manager for Peckham Industries. “The collaboration that The Road Forward provides is key in driving innovative solutions on our journey to a net zero future.”</w:t>
      </w:r>
    </w:p>
    <w:p w14:paraId="6C11E690" w14:textId="77777777" w:rsidR="00B84A46" w:rsidRPr="00B84A46" w:rsidRDefault="00B84A46" w:rsidP="00B84A46">
      <w:pPr>
        <w:rPr>
          <w:rFonts w:ascii="Barlow" w:hAnsi="Barlow"/>
          <w:sz w:val="24"/>
          <w:szCs w:val="24"/>
        </w:rPr>
      </w:pPr>
    </w:p>
    <w:p w14:paraId="4876C5B8" w14:textId="77777777" w:rsidR="00B84A46" w:rsidRDefault="00B84A46" w:rsidP="00B84A46">
      <w:pPr>
        <w:rPr>
          <w:rFonts w:ascii="Barlow" w:hAnsi="Barlow"/>
          <w:sz w:val="24"/>
          <w:szCs w:val="24"/>
        </w:rPr>
      </w:pPr>
      <w:r w:rsidRPr="00B84A46">
        <w:rPr>
          <w:rFonts w:ascii="Barlow" w:hAnsi="Barlow"/>
          <w:sz w:val="24"/>
          <w:szCs w:val="24"/>
        </w:rPr>
        <w:lastRenderedPageBreak/>
        <w:t>“Cargill continues to invest in NAPA and The Road Forward because it aligns with our mission to help build the most sustainable and resilient roads in terms of performance, people, planet, and profit,” said Susan Listberger, Global Industry Manager for Cargill. “We’re all fighting against the status quo. Change is hard, but I’m proud that the industry is committed to making significant progress toward zero carbon.”</w:t>
      </w:r>
    </w:p>
    <w:p w14:paraId="42E5DABD" w14:textId="77777777" w:rsidR="00B84A46" w:rsidRPr="00B84A46" w:rsidRDefault="00B84A46" w:rsidP="00B84A46">
      <w:pPr>
        <w:rPr>
          <w:rFonts w:ascii="Barlow" w:hAnsi="Barlow"/>
          <w:sz w:val="24"/>
          <w:szCs w:val="24"/>
        </w:rPr>
      </w:pPr>
    </w:p>
    <w:p w14:paraId="0F8BF0A6" w14:textId="47E96D41" w:rsidR="00B84A46" w:rsidRDefault="00AD582C" w:rsidP="00B84A46">
      <w:pPr>
        <w:rPr>
          <w:rFonts w:ascii="Barlow" w:hAnsi="Barlow"/>
          <w:sz w:val="24"/>
          <w:szCs w:val="24"/>
        </w:rPr>
      </w:pPr>
      <w:r>
        <w:rPr>
          <w:rFonts w:ascii="Barlow" w:hAnsi="Barlow"/>
          <w:sz w:val="24"/>
          <w:szCs w:val="24"/>
        </w:rPr>
        <w:t>T</w:t>
      </w:r>
      <w:r w:rsidR="00B84A46" w:rsidRPr="00B84A46">
        <w:rPr>
          <w:rFonts w:ascii="Barlow" w:hAnsi="Barlow"/>
          <w:sz w:val="24"/>
          <w:szCs w:val="24"/>
        </w:rPr>
        <w:t>he following companies have supported The Road Forward since 2022 and continue to renew their support annually:</w:t>
      </w:r>
    </w:p>
    <w:p w14:paraId="495CA284" w14:textId="77777777" w:rsidR="00B84A46" w:rsidRPr="00B84A46" w:rsidRDefault="00B84A46" w:rsidP="00B84A46">
      <w:pPr>
        <w:rPr>
          <w:rFonts w:ascii="Barlow" w:hAnsi="Barlow"/>
          <w:sz w:val="24"/>
          <w:szCs w:val="24"/>
        </w:rPr>
      </w:pPr>
    </w:p>
    <w:p w14:paraId="069BCAC1" w14:textId="7E89BDCB"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Ajax Paving Industries of Florida, LLC</w:t>
      </w:r>
    </w:p>
    <w:p w14:paraId="21BDF54E" w14:textId="61157265" w:rsidR="00B84A46" w:rsidRPr="00B84A46" w:rsidRDefault="00B84A46" w:rsidP="00B84A46">
      <w:pPr>
        <w:pStyle w:val="ListParagraph"/>
        <w:numPr>
          <w:ilvl w:val="0"/>
          <w:numId w:val="15"/>
        </w:numPr>
        <w:rPr>
          <w:rFonts w:ascii="Barlow" w:hAnsi="Barlow"/>
          <w:sz w:val="24"/>
          <w:szCs w:val="24"/>
        </w:rPr>
      </w:pPr>
      <w:proofErr w:type="spellStart"/>
      <w:r w:rsidRPr="00B84A46">
        <w:rPr>
          <w:rFonts w:ascii="Barlow" w:hAnsi="Barlow"/>
          <w:sz w:val="24"/>
          <w:szCs w:val="24"/>
        </w:rPr>
        <w:t>Astec</w:t>
      </w:r>
      <w:proofErr w:type="spellEnd"/>
      <w:r w:rsidRPr="00B84A46">
        <w:rPr>
          <w:rFonts w:ascii="Barlow" w:hAnsi="Barlow"/>
          <w:sz w:val="24"/>
          <w:szCs w:val="24"/>
        </w:rPr>
        <w:t xml:space="preserve"> Industries</w:t>
      </w:r>
    </w:p>
    <w:p w14:paraId="0F7864BD" w14:textId="636A211B"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bp</w:t>
      </w:r>
    </w:p>
    <w:p w14:paraId="291A0E76" w14:textId="77777777" w:rsidR="00AD582C" w:rsidRDefault="00AD582C" w:rsidP="00B84A46">
      <w:pPr>
        <w:pStyle w:val="ListParagraph"/>
        <w:numPr>
          <w:ilvl w:val="0"/>
          <w:numId w:val="15"/>
        </w:numPr>
        <w:rPr>
          <w:rFonts w:ascii="Barlow" w:hAnsi="Barlow"/>
          <w:sz w:val="24"/>
          <w:szCs w:val="24"/>
        </w:rPr>
      </w:pPr>
      <w:r>
        <w:rPr>
          <w:rFonts w:ascii="Barlow" w:hAnsi="Barlow"/>
          <w:sz w:val="24"/>
          <w:szCs w:val="24"/>
        </w:rPr>
        <w:t>Cargill Asphalt Solutions</w:t>
      </w:r>
    </w:p>
    <w:p w14:paraId="18BD715E" w14:textId="64018361"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Colas USA</w:t>
      </w:r>
    </w:p>
    <w:p w14:paraId="36B2DA4C" w14:textId="09F4BFDF"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Construction Partners, Inc.</w:t>
      </w:r>
    </w:p>
    <w:p w14:paraId="066D6377" w14:textId="38C32001"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CRH Americas Materials</w:t>
      </w:r>
    </w:p>
    <w:p w14:paraId="2D8D7525" w14:textId="3530D4C1"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Dow</w:t>
      </w:r>
    </w:p>
    <w:p w14:paraId="26D3C6AA" w14:textId="0D9C0076" w:rsidR="00B84A46" w:rsidRPr="00B84A46" w:rsidRDefault="00B84A46" w:rsidP="00B84A46">
      <w:pPr>
        <w:pStyle w:val="ListParagraph"/>
        <w:numPr>
          <w:ilvl w:val="0"/>
          <w:numId w:val="15"/>
        </w:numPr>
        <w:rPr>
          <w:rFonts w:ascii="Barlow" w:hAnsi="Barlow"/>
          <w:sz w:val="24"/>
          <w:szCs w:val="24"/>
        </w:rPr>
      </w:pPr>
      <w:proofErr w:type="spellStart"/>
      <w:r w:rsidRPr="00B84A46">
        <w:rPr>
          <w:rFonts w:ascii="Barlow" w:hAnsi="Barlow"/>
          <w:sz w:val="24"/>
          <w:szCs w:val="24"/>
        </w:rPr>
        <w:t>Earthwave</w:t>
      </w:r>
      <w:proofErr w:type="spellEnd"/>
      <w:r w:rsidRPr="00B84A46">
        <w:rPr>
          <w:rFonts w:ascii="Barlow" w:hAnsi="Barlow"/>
          <w:sz w:val="24"/>
          <w:szCs w:val="24"/>
        </w:rPr>
        <w:t xml:space="preserve"> Technologies, Inc.</w:t>
      </w:r>
    </w:p>
    <w:p w14:paraId="25792068" w14:textId="75A5CAE5"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Gallagher Asphalt Corp.</w:t>
      </w:r>
    </w:p>
    <w:p w14:paraId="32DCF58C" w14:textId="11BFF1CA"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Granite Construction</w:t>
      </w:r>
    </w:p>
    <w:p w14:paraId="61C4C570" w14:textId="58EB3492"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Ingevity</w:t>
      </w:r>
    </w:p>
    <w:p w14:paraId="54D741C3" w14:textId="6896A0D4"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Kokosing Materials, Inc.</w:t>
      </w:r>
    </w:p>
    <w:p w14:paraId="6102BB24" w14:textId="1EC5B7CA" w:rsidR="00B84A46" w:rsidRPr="00B84A46" w:rsidRDefault="00B84A46" w:rsidP="00B84A46">
      <w:pPr>
        <w:pStyle w:val="ListParagraph"/>
        <w:numPr>
          <w:ilvl w:val="0"/>
          <w:numId w:val="15"/>
        </w:numPr>
        <w:rPr>
          <w:rFonts w:ascii="Barlow" w:hAnsi="Barlow"/>
          <w:sz w:val="24"/>
          <w:szCs w:val="24"/>
        </w:rPr>
      </w:pPr>
      <w:proofErr w:type="spellStart"/>
      <w:r w:rsidRPr="00B84A46">
        <w:rPr>
          <w:rFonts w:ascii="Barlow" w:hAnsi="Barlow"/>
          <w:sz w:val="24"/>
          <w:szCs w:val="24"/>
        </w:rPr>
        <w:t>Kraton</w:t>
      </w:r>
      <w:proofErr w:type="spellEnd"/>
      <w:r w:rsidRPr="00B84A46">
        <w:rPr>
          <w:rFonts w:ascii="Barlow" w:hAnsi="Barlow"/>
          <w:sz w:val="24"/>
          <w:szCs w:val="24"/>
        </w:rPr>
        <w:t xml:space="preserve"> Corporation</w:t>
      </w:r>
    </w:p>
    <w:p w14:paraId="40D24419" w14:textId="44C4C1D1"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Lindy Paving</w:t>
      </w:r>
    </w:p>
    <w:p w14:paraId="5D8B3BC3" w14:textId="2D03FB35" w:rsid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M.U.C. Holdings, LLC</w:t>
      </w:r>
    </w:p>
    <w:p w14:paraId="6C972CD6" w14:textId="1E7DA743" w:rsidR="00AD582C" w:rsidRPr="00B84A46" w:rsidRDefault="00AD582C" w:rsidP="00B84A46">
      <w:pPr>
        <w:pStyle w:val="ListParagraph"/>
        <w:numPr>
          <w:ilvl w:val="0"/>
          <w:numId w:val="15"/>
        </w:numPr>
        <w:rPr>
          <w:rFonts w:ascii="Barlow" w:hAnsi="Barlow"/>
          <w:sz w:val="24"/>
          <w:szCs w:val="24"/>
        </w:rPr>
      </w:pPr>
      <w:r>
        <w:rPr>
          <w:rFonts w:ascii="Barlow" w:hAnsi="Barlow"/>
          <w:sz w:val="24"/>
          <w:szCs w:val="24"/>
        </w:rPr>
        <w:t>Peckham Industries, Inc.</w:t>
      </w:r>
    </w:p>
    <w:p w14:paraId="41808906" w14:textId="68A4FCA7"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Summit Materials</w:t>
      </w:r>
    </w:p>
    <w:p w14:paraId="7B157535" w14:textId="7BFF3FB3"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Teichert Materials</w:t>
      </w:r>
    </w:p>
    <w:p w14:paraId="013E5DC8" w14:textId="14FC8385"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Vinci Construction USA</w:t>
      </w:r>
    </w:p>
    <w:p w14:paraId="50A067F2" w14:textId="3CB1D4E4"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Volvo Construction Equipment</w:t>
      </w:r>
    </w:p>
    <w:p w14:paraId="34C081C9" w14:textId="3A4D4BB2" w:rsidR="00B84A46" w:rsidRPr="00B84A46" w:rsidRDefault="00B84A46" w:rsidP="00B84A46">
      <w:pPr>
        <w:pStyle w:val="ListParagraph"/>
        <w:numPr>
          <w:ilvl w:val="0"/>
          <w:numId w:val="15"/>
        </w:numPr>
        <w:rPr>
          <w:rFonts w:ascii="Barlow" w:hAnsi="Barlow"/>
          <w:sz w:val="24"/>
          <w:szCs w:val="24"/>
        </w:rPr>
      </w:pPr>
      <w:r w:rsidRPr="00B84A46">
        <w:rPr>
          <w:rFonts w:ascii="Barlow" w:hAnsi="Barlow"/>
          <w:sz w:val="24"/>
          <w:szCs w:val="24"/>
        </w:rPr>
        <w:t>Wirtgen America, Inc.</w:t>
      </w:r>
    </w:p>
    <w:p w14:paraId="2B23D6B1" w14:textId="77777777" w:rsidR="00B84A46" w:rsidRDefault="00B84A46" w:rsidP="00B84A46">
      <w:pPr>
        <w:rPr>
          <w:rFonts w:ascii="Barlow" w:hAnsi="Barlow"/>
          <w:sz w:val="24"/>
          <w:szCs w:val="24"/>
        </w:rPr>
      </w:pPr>
    </w:p>
    <w:p w14:paraId="583FDD46" w14:textId="01D38862" w:rsidR="00B84A46" w:rsidRDefault="00B84A46" w:rsidP="00B84A46">
      <w:pPr>
        <w:rPr>
          <w:rFonts w:ascii="Barlow" w:hAnsi="Barlow"/>
          <w:sz w:val="24"/>
          <w:szCs w:val="24"/>
        </w:rPr>
      </w:pPr>
      <w:r w:rsidRPr="00B84A46">
        <w:rPr>
          <w:rFonts w:ascii="Barlow" w:hAnsi="Barlow"/>
          <w:sz w:val="24"/>
          <w:szCs w:val="24"/>
        </w:rPr>
        <w:t>The following companies joined The Road Forward in 2023 and continue to renew their support annually:</w:t>
      </w:r>
    </w:p>
    <w:p w14:paraId="4E6AF7A2" w14:textId="77777777" w:rsidR="00B84A46" w:rsidRPr="00B84A46" w:rsidRDefault="00B84A46" w:rsidP="00B84A46">
      <w:pPr>
        <w:rPr>
          <w:rFonts w:ascii="Barlow" w:hAnsi="Barlow"/>
          <w:sz w:val="24"/>
          <w:szCs w:val="24"/>
        </w:rPr>
      </w:pPr>
    </w:p>
    <w:p w14:paraId="2518BDCB" w14:textId="3DE09D35"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Arkema</w:t>
      </w:r>
    </w:p>
    <w:p w14:paraId="4135D5C9" w14:textId="4F80611D"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CertainTeed by Saint-Gobain</w:t>
      </w:r>
    </w:p>
    <w:p w14:paraId="49574CF8" w14:textId="7FF6A15C" w:rsidR="00B84A46" w:rsidRPr="00B84A46" w:rsidRDefault="00B84A46" w:rsidP="00B84A46">
      <w:pPr>
        <w:pStyle w:val="ListParagraph"/>
        <w:numPr>
          <w:ilvl w:val="0"/>
          <w:numId w:val="18"/>
        </w:numPr>
        <w:rPr>
          <w:rFonts w:ascii="Barlow" w:hAnsi="Barlow"/>
          <w:sz w:val="24"/>
          <w:szCs w:val="24"/>
        </w:rPr>
      </w:pPr>
      <w:proofErr w:type="spellStart"/>
      <w:r w:rsidRPr="00B84A46">
        <w:rPr>
          <w:rFonts w:ascii="Barlow" w:hAnsi="Barlow"/>
          <w:sz w:val="24"/>
          <w:szCs w:val="24"/>
        </w:rPr>
        <w:t>Colorbiotics</w:t>
      </w:r>
      <w:proofErr w:type="spellEnd"/>
    </w:p>
    <w:p w14:paraId="3530B4D7" w14:textId="4B3743BA"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George Reed, Inc.</w:t>
      </w:r>
    </w:p>
    <w:p w14:paraId="2896616A" w14:textId="17F062BF"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Heritage Construction + Materials</w:t>
      </w:r>
    </w:p>
    <w:p w14:paraId="2C23FA06" w14:textId="77CD5010"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Sapphire Gas Solutions</w:t>
      </w:r>
    </w:p>
    <w:p w14:paraId="7B3B7BD6" w14:textId="70D06763" w:rsidR="00B84A46" w:rsidRPr="00B84A46" w:rsidRDefault="00B84A46" w:rsidP="00B84A46">
      <w:pPr>
        <w:pStyle w:val="ListParagraph"/>
        <w:numPr>
          <w:ilvl w:val="0"/>
          <w:numId w:val="18"/>
        </w:numPr>
        <w:rPr>
          <w:rFonts w:ascii="Barlow" w:hAnsi="Barlow"/>
          <w:sz w:val="24"/>
          <w:szCs w:val="24"/>
        </w:rPr>
      </w:pPr>
      <w:r w:rsidRPr="00B84A46">
        <w:rPr>
          <w:rFonts w:ascii="Barlow" w:hAnsi="Barlow"/>
          <w:sz w:val="24"/>
          <w:szCs w:val="24"/>
        </w:rPr>
        <w:t>XBE</w:t>
      </w:r>
    </w:p>
    <w:p w14:paraId="67E6183D" w14:textId="77777777" w:rsidR="00B84A46" w:rsidRDefault="00B84A46" w:rsidP="00B84A46">
      <w:pPr>
        <w:rPr>
          <w:rFonts w:ascii="Barlow" w:hAnsi="Barlow"/>
          <w:sz w:val="24"/>
          <w:szCs w:val="24"/>
        </w:rPr>
      </w:pPr>
    </w:p>
    <w:p w14:paraId="340AC1C5" w14:textId="154DE20F" w:rsidR="00B84A46" w:rsidRDefault="00B84A46" w:rsidP="00B84A46">
      <w:pPr>
        <w:rPr>
          <w:rFonts w:ascii="Barlow" w:hAnsi="Barlow"/>
          <w:sz w:val="24"/>
          <w:szCs w:val="24"/>
        </w:rPr>
      </w:pPr>
      <w:r w:rsidRPr="00B84A46">
        <w:rPr>
          <w:rFonts w:ascii="Barlow" w:hAnsi="Barlow"/>
          <w:sz w:val="24"/>
          <w:szCs w:val="24"/>
        </w:rPr>
        <w:t xml:space="preserve">With 29 continuing partners, The Road Forward funders’ renewal rate stands at 93.5%, solidifying the industry’s recognition that pursuing lower emissions is a worthy and achievable </w:t>
      </w:r>
      <w:r w:rsidRPr="00B84A46">
        <w:rPr>
          <w:rFonts w:ascii="Barlow" w:hAnsi="Barlow"/>
          <w:sz w:val="24"/>
          <w:szCs w:val="24"/>
        </w:rPr>
        <w:lastRenderedPageBreak/>
        <w:t>goal when we all work together. Moreover, NAPA celebrated the addition of seven new partners in 2024. They are:</w:t>
      </w:r>
    </w:p>
    <w:p w14:paraId="125B2173" w14:textId="77777777" w:rsidR="00B84A46" w:rsidRPr="00B84A46" w:rsidRDefault="00B84A46" w:rsidP="00B84A46">
      <w:pPr>
        <w:rPr>
          <w:rFonts w:ascii="Barlow" w:hAnsi="Barlow"/>
          <w:sz w:val="24"/>
          <w:szCs w:val="24"/>
        </w:rPr>
      </w:pPr>
    </w:p>
    <w:p w14:paraId="1BB87451" w14:textId="6B7FCDE6"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Ammann America</w:t>
      </w:r>
    </w:p>
    <w:p w14:paraId="0E53016C" w14:textId="50CF1DEA"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E&amp;B Paving</w:t>
      </w:r>
    </w:p>
    <w:p w14:paraId="216A5657" w14:textId="2836250A" w:rsidR="00B84A46" w:rsidRPr="00B84A46" w:rsidRDefault="00B84A46" w:rsidP="00B84A46">
      <w:pPr>
        <w:pStyle w:val="ListParagraph"/>
        <w:numPr>
          <w:ilvl w:val="0"/>
          <w:numId w:val="21"/>
        </w:numPr>
        <w:rPr>
          <w:rFonts w:ascii="Barlow" w:hAnsi="Barlow"/>
          <w:sz w:val="24"/>
          <w:szCs w:val="24"/>
        </w:rPr>
      </w:pPr>
      <w:proofErr w:type="spellStart"/>
      <w:r w:rsidRPr="00B84A46">
        <w:rPr>
          <w:rFonts w:ascii="Barlow" w:hAnsi="Barlow"/>
          <w:sz w:val="24"/>
          <w:szCs w:val="24"/>
        </w:rPr>
        <w:t>Gencor</w:t>
      </w:r>
      <w:proofErr w:type="spellEnd"/>
      <w:r w:rsidRPr="00B84A46">
        <w:rPr>
          <w:rFonts w:ascii="Barlow" w:hAnsi="Barlow"/>
          <w:sz w:val="24"/>
          <w:szCs w:val="24"/>
        </w:rPr>
        <w:t xml:space="preserve"> Industries, Inc.</w:t>
      </w:r>
    </w:p>
    <w:p w14:paraId="077F13BD" w14:textId="4508FAD8"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The Gerken Companies</w:t>
      </w:r>
    </w:p>
    <w:p w14:paraId="3124DBC1" w14:textId="52533504"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Legacy Infrastructure Group/Superior Bowen/Haskell Lemon</w:t>
      </w:r>
    </w:p>
    <w:p w14:paraId="6E0F4763" w14:textId="6AD13F20"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Owens Corning</w:t>
      </w:r>
    </w:p>
    <w:p w14:paraId="5B329DB8" w14:textId="2CE51B14" w:rsidR="00B84A46" w:rsidRPr="00B84A46" w:rsidRDefault="00B84A46" w:rsidP="00B84A46">
      <w:pPr>
        <w:pStyle w:val="ListParagraph"/>
        <w:numPr>
          <w:ilvl w:val="0"/>
          <w:numId w:val="21"/>
        </w:numPr>
        <w:rPr>
          <w:rFonts w:ascii="Barlow" w:hAnsi="Barlow"/>
          <w:sz w:val="24"/>
          <w:szCs w:val="24"/>
        </w:rPr>
      </w:pPr>
      <w:r w:rsidRPr="00B84A46">
        <w:rPr>
          <w:rFonts w:ascii="Barlow" w:hAnsi="Barlow"/>
          <w:sz w:val="24"/>
          <w:szCs w:val="24"/>
        </w:rPr>
        <w:t>Rogers Group Inc.</w:t>
      </w:r>
    </w:p>
    <w:p w14:paraId="0F1E019B" w14:textId="77777777" w:rsidR="00B84A46" w:rsidRDefault="00B84A46" w:rsidP="00B84A46">
      <w:pPr>
        <w:rPr>
          <w:rFonts w:ascii="Barlow" w:hAnsi="Barlow"/>
          <w:sz w:val="24"/>
          <w:szCs w:val="24"/>
        </w:rPr>
      </w:pPr>
    </w:p>
    <w:p w14:paraId="3FD98651" w14:textId="0C255441" w:rsidR="00B84A46" w:rsidRDefault="00B84A46" w:rsidP="00B84A46">
      <w:pPr>
        <w:rPr>
          <w:rFonts w:ascii="Barlow" w:hAnsi="Barlow"/>
          <w:sz w:val="24"/>
          <w:szCs w:val="24"/>
        </w:rPr>
      </w:pPr>
      <w:r w:rsidRPr="00B84A46">
        <w:rPr>
          <w:rFonts w:ascii="Barlow" w:hAnsi="Barlow"/>
          <w:sz w:val="24"/>
          <w:szCs w:val="24"/>
        </w:rPr>
        <w:t>Identifying and filling research gaps along The Road Forward relies not just on the support and participation of funding partners, but also on the expertise of a variety of subject matter experts, researchers, and academics. NAPA recognizes the following research partners for their contributions to The Road Forward:</w:t>
      </w:r>
    </w:p>
    <w:p w14:paraId="11640AAD" w14:textId="77777777" w:rsidR="00B84A46" w:rsidRPr="00B84A46" w:rsidRDefault="00B84A46" w:rsidP="00B84A46">
      <w:pPr>
        <w:rPr>
          <w:rFonts w:ascii="Barlow" w:hAnsi="Barlow"/>
          <w:sz w:val="24"/>
          <w:szCs w:val="24"/>
        </w:rPr>
      </w:pPr>
    </w:p>
    <w:p w14:paraId="1702AF8A" w14:textId="662FEFA8"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ASPIRE National Science Foundation Engineering Research Center</w:t>
      </w:r>
    </w:p>
    <w:p w14:paraId="5D14FA00" w14:textId="699E5127"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National Center for Asphalt Technology (NCAT) at Auburn University</w:t>
      </w:r>
    </w:p>
    <w:p w14:paraId="08C7CD09" w14:textId="45E09DF7"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T2ASCO LLC</w:t>
      </w:r>
    </w:p>
    <w:p w14:paraId="74118F7C" w14:textId="7EF00B23"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 xml:space="preserve">The </w:t>
      </w:r>
      <w:proofErr w:type="spellStart"/>
      <w:r w:rsidRPr="00B84A46">
        <w:rPr>
          <w:rFonts w:ascii="Barlow" w:hAnsi="Barlow"/>
          <w:sz w:val="24"/>
          <w:szCs w:val="24"/>
        </w:rPr>
        <w:t>Transtec</w:t>
      </w:r>
      <w:proofErr w:type="spellEnd"/>
      <w:r w:rsidRPr="00B84A46">
        <w:rPr>
          <w:rFonts w:ascii="Barlow" w:hAnsi="Barlow"/>
          <w:sz w:val="24"/>
          <w:szCs w:val="24"/>
        </w:rPr>
        <w:t xml:space="preserve"> Group Inc.</w:t>
      </w:r>
    </w:p>
    <w:p w14:paraId="60BA713F" w14:textId="0FFBC45A"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University of California, Davis</w:t>
      </w:r>
    </w:p>
    <w:p w14:paraId="6B97589F" w14:textId="5A6FAE8A"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University of Missouri-Columbia</w:t>
      </w:r>
    </w:p>
    <w:p w14:paraId="282FCAB1" w14:textId="5BDFF702"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University of Washington</w:t>
      </w:r>
    </w:p>
    <w:p w14:paraId="4C7FB6C0" w14:textId="2E556033"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WAP Sustainability Consulting</w:t>
      </w:r>
    </w:p>
    <w:p w14:paraId="5A92C468" w14:textId="57B249F4" w:rsidR="00B84A46" w:rsidRPr="00B84A46" w:rsidRDefault="00B84A46" w:rsidP="00B84A46">
      <w:pPr>
        <w:pStyle w:val="ListParagraph"/>
        <w:numPr>
          <w:ilvl w:val="0"/>
          <w:numId w:val="24"/>
        </w:numPr>
        <w:rPr>
          <w:rFonts w:ascii="Barlow" w:hAnsi="Barlow"/>
          <w:sz w:val="24"/>
          <w:szCs w:val="24"/>
        </w:rPr>
      </w:pPr>
      <w:r w:rsidRPr="00B84A46">
        <w:rPr>
          <w:rFonts w:ascii="Barlow" w:hAnsi="Barlow"/>
          <w:sz w:val="24"/>
          <w:szCs w:val="24"/>
        </w:rPr>
        <w:t>West Contracting</w:t>
      </w:r>
    </w:p>
    <w:p w14:paraId="087AC296" w14:textId="77777777" w:rsidR="00B84A46" w:rsidRDefault="00B84A46" w:rsidP="00B84A46">
      <w:pPr>
        <w:rPr>
          <w:rFonts w:ascii="Barlow" w:hAnsi="Barlow"/>
          <w:sz w:val="24"/>
          <w:szCs w:val="24"/>
        </w:rPr>
      </w:pPr>
    </w:p>
    <w:p w14:paraId="45D52E9B" w14:textId="2154AFC9" w:rsidR="00060399" w:rsidRPr="00060399" w:rsidRDefault="00060399" w:rsidP="00060399">
      <w:pPr>
        <w:rPr>
          <w:rFonts w:ascii="Barlow" w:hAnsi="Barlow"/>
          <w:sz w:val="24"/>
          <w:szCs w:val="24"/>
        </w:rPr>
      </w:pPr>
      <w:r w:rsidRPr="00060399">
        <w:rPr>
          <w:rFonts w:ascii="Barlow" w:hAnsi="Barlow"/>
          <w:sz w:val="24"/>
          <w:szCs w:val="24"/>
        </w:rPr>
        <w:t xml:space="preserve">NAPA expects to publish a research roundup and 2025 roadmap at the end of this year. Updates will be posted to </w:t>
      </w:r>
      <w:hyperlink r:id="rId8" w:history="1">
        <w:r w:rsidRPr="00060399">
          <w:rPr>
            <w:rStyle w:val="Hyperlink"/>
            <w:rFonts w:ascii="Barlow" w:hAnsi="Barlow"/>
            <w:sz w:val="24"/>
            <w:szCs w:val="24"/>
          </w:rPr>
          <w:t>AsphaltPavement.org/Forward</w:t>
        </w:r>
      </w:hyperlink>
      <w:r w:rsidRPr="00060399">
        <w:rPr>
          <w:rFonts w:ascii="Barlow" w:hAnsi="Barlow"/>
          <w:sz w:val="24"/>
          <w:szCs w:val="24"/>
        </w:rPr>
        <w:t xml:space="preserve"> or can be received by subscribing to NAPA communications at </w:t>
      </w:r>
      <w:hyperlink r:id="rId9" w:history="1">
        <w:r w:rsidRPr="00060399">
          <w:rPr>
            <w:rStyle w:val="Hyperlink"/>
            <w:rFonts w:ascii="Barlow" w:hAnsi="Barlow"/>
            <w:sz w:val="24"/>
            <w:szCs w:val="24"/>
          </w:rPr>
          <w:t>AsphaltPavement.org/News-Resources/Subscribe</w:t>
        </w:r>
      </w:hyperlink>
      <w:r w:rsidRPr="00060399">
        <w:rPr>
          <w:rFonts w:ascii="Barlow" w:hAnsi="Barlow"/>
          <w:sz w:val="24"/>
          <w:szCs w:val="24"/>
        </w:rPr>
        <w:t xml:space="preserve">. Additionally, partners will convene at NAPA’s 2025 Annual Meeting in Maui for updates and discussion. Registration for the Annual Meeting is available now at </w:t>
      </w:r>
      <w:hyperlink r:id="rId10" w:history="1">
        <w:r w:rsidRPr="00060399">
          <w:rPr>
            <w:rStyle w:val="Hyperlink"/>
            <w:rFonts w:ascii="Barlow" w:hAnsi="Barlow"/>
            <w:sz w:val="24"/>
            <w:szCs w:val="24"/>
          </w:rPr>
          <w:t>AsphaltPavement.org/Annual</w:t>
        </w:r>
      </w:hyperlink>
      <w:r w:rsidRPr="00060399">
        <w:rPr>
          <w:rFonts w:ascii="Barlow" w:hAnsi="Barlow"/>
          <w:sz w:val="24"/>
          <w:szCs w:val="24"/>
        </w:rPr>
        <w:t>.</w:t>
      </w:r>
    </w:p>
    <w:p w14:paraId="1E69C3DB" w14:textId="77777777" w:rsidR="00060399" w:rsidRPr="00060399" w:rsidRDefault="00060399" w:rsidP="00060399">
      <w:pPr>
        <w:rPr>
          <w:rFonts w:ascii="Barlow" w:hAnsi="Barlow"/>
          <w:sz w:val="24"/>
          <w:szCs w:val="24"/>
        </w:rPr>
      </w:pPr>
      <w:r w:rsidRPr="00060399">
        <w:rPr>
          <w:rFonts w:ascii="Barlow" w:hAnsi="Barlow"/>
          <w:sz w:val="24"/>
          <w:szCs w:val="24"/>
        </w:rPr>
        <w:t> </w:t>
      </w:r>
    </w:p>
    <w:p w14:paraId="5A8B7057" w14:textId="05204E1D" w:rsidR="00060399" w:rsidRPr="00060399" w:rsidRDefault="00060399" w:rsidP="00060399">
      <w:pPr>
        <w:rPr>
          <w:rFonts w:ascii="Barlow" w:hAnsi="Barlow"/>
          <w:sz w:val="24"/>
          <w:szCs w:val="24"/>
        </w:rPr>
      </w:pPr>
      <w:r w:rsidRPr="00060399">
        <w:rPr>
          <w:rFonts w:ascii="Barlow" w:hAnsi="Barlow"/>
          <w:sz w:val="24"/>
          <w:szCs w:val="24"/>
        </w:rPr>
        <w:t xml:space="preserve">Also in 2025, The Road Forward presents the International Conference on the Decarbonization of Asphalt Pavements, which will explore innovative solutions and best practices for reducing the carbon footprint associated with asphalt pavements. Researchers, policymakers, and industry experts are invited to submit abstracts by November 1, 2024. Find conference details and submission guidelines at </w:t>
      </w:r>
      <w:hyperlink r:id="rId11" w:history="1">
        <w:r w:rsidRPr="00060399">
          <w:rPr>
            <w:rStyle w:val="Hyperlink"/>
            <w:rFonts w:ascii="Barlow" w:hAnsi="Barlow"/>
            <w:sz w:val="24"/>
            <w:szCs w:val="24"/>
          </w:rPr>
          <w:t>QR.AsphaltPavement.org/ZZBF</w:t>
        </w:r>
      </w:hyperlink>
      <w:r w:rsidRPr="00060399">
        <w:rPr>
          <w:rFonts w:ascii="Barlow" w:hAnsi="Barlow"/>
          <w:sz w:val="24"/>
          <w:szCs w:val="24"/>
        </w:rPr>
        <w:t>.</w:t>
      </w:r>
    </w:p>
    <w:p w14:paraId="42B1119B" w14:textId="77777777" w:rsidR="004C5A85" w:rsidRDefault="004C5A85" w:rsidP="00A61EB4">
      <w:pPr>
        <w:rPr>
          <w:rFonts w:ascii="Barlow" w:hAnsi="Barlow"/>
          <w:sz w:val="24"/>
          <w:szCs w:val="24"/>
        </w:rPr>
      </w:pPr>
    </w:p>
    <w:p w14:paraId="1DFD3E9A" w14:textId="77777777" w:rsidR="004C5A85" w:rsidRPr="00445962" w:rsidRDefault="004C5A85" w:rsidP="002B02D1">
      <w:pPr>
        <w:jc w:val="center"/>
        <w:rPr>
          <w:rFonts w:ascii="Barlow" w:hAnsi="Barlow"/>
          <w:sz w:val="24"/>
          <w:szCs w:val="24"/>
        </w:rPr>
      </w:pPr>
      <w:r>
        <w:rPr>
          <w:rFonts w:ascii="Barlow" w:hAnsi="Barlow"/>
          <w:sz w:val="24"/>
          <w:szCs w:val="24"/>
        </w:rPr>
        <w:t>###</w:t>
      </w:r>
    </w:p>
    <w:p w14:paraId="175764E0" w14:textId="77777777" w:rsidR="004C5A85" w:rsidRPr="00445962" w:rsidRDefault="004C5A85" w:rsidP="00445962">
      <w:pPr>
        <w:rPr>
          <w:rFonts w:ascii="Barlow" w:hAnsi="Barlow"/>
          <w:sz w:val="24"/>
          <w:szCs w:val="24"/>
        </w:rPr>
      </w:pPr>
    </w:p>
    <w:p w14:paraId="6CE84A5D" w14:textId="77777777" w:rsidR="004C5A85" w:rsidRPr="00EA1CE7" w:rsidRDefault="004C5A85" w:rsidP="00EA1CE7">
      <w:pPr>
        <w:textAlignment w:val="baseline"/>
        <w:rPr>
          <w:rFonts w:ascii="Barlow" w:hAnsi="Barlow" w:cs="Calibri"/>
          <w:b/>
          <w:bCs/>
          <w:sz w:val="24"/>
          <w:szCs w:val="24"/>
        </w:rPr>
      </w:pPr>
      <w:r w:rsidRPr="00EA1CE7">
        <w:rPr>
          <w:rFonts w:ascii="Barlow" w:hAnsi="Barlow" w:cs="Calibri"/>
          <w:b/>
          <w:bCs/>
          <w:sz w:val="24"/>
          <w:szCs w:val="24"/>
        </w:rPr>
        <w:t xml:space="preserve">About The Road Forward </w:t>
      </w:r>
    </w:p>
    <w:p w14:paraId="2679BFB5" w14:textId="77777777" w:rsidR="004C5A85" w:rsidRPr="00EA1CE7" w:rsidRDefault="004C5A85" w:rsidP="00EA1CE7">
      <w:pPr>
        <w:textAlignment w:val="baseline"/>
        <w:rPr>
          <w:rFonts w:ascii="Barlow" w:hAnsi="Barlow" w:cs="Calibri"/>
          <w:sz w:val="24"/>
          <w:szCs w:val="24"/>
        </w:rPr>
      </w:pPr>
      <w:r w:rsidRPr="00EA1CE7">
        <w:rPr>
          <w:rFonts w:ascii="Barlow" w:hAnsi="Barlow" w:cs="Calibri"/>
          <w:sz w:val="24"/>
          <w:szCs w:val="24"/>
        </w:rPr>
        <w:t xml:space="preserve">An initiative of the National Asphalt Pavement Association, The Road Forward: A Vision for Net Zero Carbon Emissions for the Asphalt Pavement Industry calls on the </w:t>
      </w:r>
      <w:smartTag w:uri="urn:schemas-microsoft-com:office:smarttags" w:element="country-region">
        <w:smartTag w:uri="urn:schemas-microsoft-com:office:smarttags" w:element="place">
          <w:smartTag w:uri="urn:schemas-microsoft-com:office:smarttags" w:element="City">
            <w:r w:rsidRPr="00EA1CE7">
              <w:rPr>
                <w:rFonts w:ascii="Barlow" w:hAnsi="Barlow" w:cs="Calibri"/>
                <w:sz w:val="24"/>
                <w:szCs w:val="24"/>
              </w:rPr>
              <w:t>U.S.</w:t>
            </w:r>
          </w:smartTag>
        </w:smartTag>
      </w:smartTag>
      <w:r w:rsidRPr="00EA1CE7">
        <w:rPr>
          <w:rFonts w:ascii="Barlow" w:hAnsi="Barlow" w:cs="Calibri"/>
          <w:sz w:val="24"/>
          <w:szCs w:val="24"/>
        </w:rPr>
        <w:t xml:space="preserve"> asphalt community to advance technologies, products, and processes to achieve net zero carbon emissions by </w:t>
      </w:r>
      <w:r w:rsidRPr="00EA1CE7">
        <w:rPr>
          <w:rFonts w:ascii="Barlow" w:hAnsi="Barlow" w:cs="Calibri"/>
          <w:sz w:val="24"/>
          <w:szCs w:val="24"/>
        </w:rPr>
        <w:lastRenderedPageBreak/>
        <w:t xml:space="preserve">2050. Launched in January 2022, the multi-year effort engages, educates, and empowers the </w:t>
      </w:r>
      <w:smartTag w:uri="urn:schemas-microsoft-com:office:smarttags" w:element="country-region">
        <w:smartTag w:uri="urn:schemas-microsoft-com:office:smarttags" w:element="place">
          <w:smartTag w:uri="urn:schemas-microsoft-com:office:smarttags" w:element="City">
            <w:r w:rsidRPr="00EA1CE7">
              <w:rPr>
                <w:rFonts w:ascii="Barlow" w:hAnsi="Barlow" w:cs="Calibri"/>
                <w:sz w:val="24"/>
                <w:szCs w:val="24"/>
              </w:rPr>
              <w:t>U.S.</w:t>
            </w:r>
          </w:smartTag>
        </w:smartTag>
      </w:smartTag>
      <w:r w:rsidRPr="00EA1CE7">
        <w:rPr>
          <w:rFonts w:ascii="Barlow" w:hAnsi="Barlow" w:cs="Calibri"/>
          <w:sz w:val="24"/>
          <w:szCs w:val="24"/>
        </w:rPr>
        <w:t xml:space="preserve"> asphalt community to produce and construct net zero carbon emission asphalt pavements. </w:t>
      </w:r>
    </w:p>
    <w:p w14:paraId="27BC4837" w14:textId="77777777" w:rsidR="004C5A85" w:rsidRDefault="004C5A85" w:rsidP="00445962">
      <w:pPr>
        <w:rPr>
          <w:rFonts w:ascii="Barlow" w:hAnsi="Barlow"/>
          <w:b/>
          <w:bCs/>
          <w:sz w:val="24"/>
          <w:szCs w:val="24"/>
        </w:rPr>
      </w:pPr>
    </w:p>
    <w:p w14:paraId="7D2B2810" w14:textId="77777777" w:rsidR="004C5A85" w:rsidRPr="00445962" w:rsidRDefault="004C5A85" w:rsidP="00445962">
      <w:pPr>
        <w:rPr>
          <w:rFonts w:ascii="Barlow" w:hAnsi="Barlow"/>
          <w:b/>
          <w:bCs/>
          <w:sz w:val="24"/>
          <w:szCs w:val="24"/>
        </w:rPr>
      </w:pPr>
      <w:r w:rsidRPr="00445962">
        <w:rPr>
          <w:rFonts w:ascii="Barlow" w:hAnsi="Barlow"/>
          <w:b/>
          <w:bCs/>
          <w:sz w:val="24"/>
          <w:szCs w:val="24"/>
        </w:rPr>
        <w:t xml:space="preserve">About </w:t>
      </w:r>
      <w:smartTag w:uri="urn:schemas-microsoft-com:office:smarttags" w:element="place">
        <w:smartTag w:uri="urn:schemas-microsoft-com:office:smarttags" w:element="City">
          <w:r w:rsidRPr="00445962">
            <w:rPr>
              <w:rFonts w:ascii="Barlow" w:hAnsi="Barlow"/>
              <w:b/>
              <w:bCs/>
              <w:sz w:val="24"/>
              <w:szCs w:val="24"/>
            </w:rPr>
            <w:t>NAPA</w:t>
          </w:r>
        </w:smartTag>
      </w:smartTag>
    </w:p>
    <w:p w14:paraId="7BACF5F4" w14:textId="77777777" w:rsidR="004C5A85" w:rsidRPr="00445962" w:rsidRDefault="004C5A85" w:rsidP="00E57064">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provides technical, educational, and marketing materials and information to its members and supplies product information to users and specifiers of paving materials. </w:t>
      </w:r>
    </w:p>
    <w:sectPr w:rsidR="004C5A85" w:rsidRPr="00445962" w:rsidSect="009C3AD9">
      <w:headerReference w:type="first" r:id="rId12"/>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C316F" w14:textId="77777777" w:rsidR="004C5A85" w:rsidRDefault="004C5A85" w:rsidP="00FD66A9">
      <w:r>
        <w:separator/>
      </w:r>
    </w:p>
  </w:endnote>
  <w:endnote w:type="continuationSeparator" w:id="0">
    <w:p w14:paraId="132C3C5F" w14:textId="77777777" w:rsidR="004C5A85" w:rsidRDefault="004C5A85"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1A5E" w14:textId="77777777" w:rsidR="004C5A85" w:rsidRDefault="004C5A85" w:rsidP="00FD66A9">
      <w:r>
        <w:separator/>
      </w:r>
    </w:p>
  </w:footnote>
  <w:footnote w:type="continuationSeparator" w:id="0">
    <w:p w14:paraId="7EF2232B" w14:textId="77777777" w:rsidR="004C5A85" w:rsidRDefault="004C5A85"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023"/>
    <w:multiLevelType w:val="hybridMultilevel"/>
    <w:tmpl w:val="F8F4380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5AD"/>
    <w:multiLevelType w:val="hybridMultilevel"/>
    <w:tmpl w:val="64FC6C3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0A3"/>
    <w:multiLevelType w:val="hybridMultilevel"/>
    <w:tmpl w:val="79DC5C58"/>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01038"/>
    <w:multiLevelType w:val="hybridMultilevel"/>
    <w:tmpl w:val="52747B84"/>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102F9"/>
    <w:multiLevelType w:val="hybridMultilevel"/>
    <w:tmpl w:val="804A225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74FF"/>
    <w:multiLevelType w:val="hybridMultilevel"/>
    <w:tmpl w:val="63D09D4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81C8F"/>
    <w:multiLevelType w:val="hybridMultilevel"/>
    <w:tmpl w:val="54580FC6"/>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05FC0"/>
    <w:multiLevelType w:val="hybridMultilevel"/>
    <w:tmpl w:val="2ACE74A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932FB"/>
    <w:multiLevelType w:val="hybridMultilevel"/>
    <w:tmpl w:val="1CC89FE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E25C4"/>
    <w:multiLevelType w:val="hybridMultilevel"/>
    <w:tmpl w:val="26CCA312"/>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9270F"/>
    <w:multiLevelType w:val="hybridMultilevel"/>
    <w:tmpl w:val="68026E1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77BA8"/>
    <w:multiLevelType w:val="hybridMultilevel"/>
    <w:tmpl w:val="6338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358337">
    <w:abstractNumId w:val="4"/>
  </w:num>
  <w:num w:numId="2" w16cid:durableId="410783958">
    <w:abstractNumId w:val="16"/>
  </w:num>
  <w:num w:numId="3" w16cid:durableId="1285575899">
    <w:abstractNumId w:val="3"/>
  </w:num>
  <w:num w:numId="4" w16cid:durableId="1926382746">
    <w:abstractNumId w:val="10"/>
  </w:num>
  <w:num w:numId="5" w16cid:durableId="1791316492">
    <w:abstractNumId w:val="13"/>
  </w:num>
  <w:num w:numId="6" w16cid:durableId="672531325">
    <w:abstractNumId w:val="14"/>
  </w:num>
  <w:num w:numId="7" w16cid:durableId="83964236">
    <w:abstractNumId w:val="8"/>
  </w:num>
  <w:num w:numId="8" w16cid:durableId="539637244">
    <w:abstractNumId w:val="2"/>
  </w:num>
  <w:num w:numId="9" w16cid:durableId="1135028126">
    <w:abstractNumId w:val="21"/>
  </w:num>
  <w:num w:numId="10" w16cid:durableId="292950185">
    <w:abstractNumId w:val="7"/>
  </w:num>
  <w:num w:numId="11" w16cid:durableId="170341142">
    <w:abstractNumId w:val="18"/>
  </w:num>
  <w:num w:numId="12" w16cid:durableId="860513175">
    <w:abstractNumId w:val="15"/>
  </w:num>
  <w:num w:numId="13" w16cid:durableId="204682653">
    <w:abstractNumId w:val="23"/>
  </w:num>
  <w:num w:numId="14" w16cid:durableId="1835758133">
    <w:abstractNumId w:val="12"/>
  </w:num>
  <w:num w:numId="15" w16cid:durableId="228394262">
    <w:abstractNumId w:val="11"/>
  </w:num>
  <w:num w:numId="16" w16cid:durableId="1704940375">
    <w:abstractNumId w:val="22"/>
  </w:num>
  <w:num w:numId="17" w16cid:durableId="1915313192">
    <w:abstractNumId w:val="1"/>
  </w:num>
  <w:num w:numId="18" w16cid:durableId="662702721">
    <w:abstractNumId w:val="5"/>
  </w:num>
  <w:num w:numId="19" w16cid:durableId="267472146">
    <w:abstractNumId w:val="17"/>
  </w:num>
  <w:num w:numId="20" w16cid:durableId="863175937">
    <w:abstractNumId w:val="6"/>
  </w:num>
  <w:num w:numId="21" w16cid:durableId="995650054">
    <w:abstractNumId w:val="9"/>
  </w:num>
  <w:num w:numId="22" w16cid:durableId="824127543">
    <w:abstractNumId w:val="20"/>
  </w:num>
  <w:num w:numId="23" w16cid:durableId="1772358652">
    <w:abstractNumId w:val="0"/>
  </w:num>
  <w:num w:numId="24" w16cid:durableId="1608200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27830"/>
    <w:rsid w:val="00036CAB"/>
    <w:rsid w:val="000372DD"/>
    <w:rsid w:val="00050FEF"/>
    <w:rsid w:val="00052D2D"/>
    <w:rsid w:val="00056690"/>
    <w:rsid w:val="00060399"/>
    <w:rsid w:val="000817D1"/>
    <w:rsid w:val="00083023"/>
    <w:rsid w:val="000B50FB"/>
    <w:rsid w:val="000C6D79"/>
    <w:rsid w:val="000D04AD"/>
    <w:rsid w:val="000D2EE4"/>
    <w:rsid w:val="000D78E4"/>
    <w:rsid w:val="000F005B"/>
    <w:rsid w:val="00125A31"/>
    <w:rsid w:val="00125AB7"/>
    <w:rsid w:val="00157085"/>
    <w:rsid w:val="001579C5"/>
    <w:rsid w:val="00163D58"/>
    <w:rsid w:val="00166E50"/>
    <w:rsid w:val="00166EF3"/>
    <w:rsid w:val="0017423D"/>
    <w:rsid w:val="00174550"/>
    <w:rsid w:val="001846D8"/>
    <w:rsid w:val="001931B1"/>
    <w:rsid w:val="001A2E1D"/>
    <w:rsid w:val="001C02E1"/>
    <w:rsid w:val="001C61A5"/>
    <w:rsid w:val="001E5172"/>
    <w:rsid w:val="00200EE8"/>
    <w:rsid w:val="002028BC"/>
    <w:rsid w:val="00211F97"/>
    <w:rsid w:val="002128DF"/>
    <w:rsid w:val="002179E5"/>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16D1F"/>
    <w:rsid w:val="00325EA8"/>
    <w:rsid w:val="00331FD7"/>
    <w:rsid w:val="00340839"/>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7BA6"/>
    <w:rsid w:val="005042FA"/>
    <w:rsid w:val="0051662D"/>
    <w:rsid w:val="00523503"/>
    <w:rsid w:val="00525C2A"/>
    <w:rsid w:val="00526922"/>
    <w:rsid w:val="005370E0"/>
    <w:rsid w:val="00540932"/>
    <w:rsid w:val="00541C1E"/>
    <w:rsid w:val="00542640"/>
    <w:rsid w:val="00553921"/>
    <w:rsid w:val="00553A59"/>
    <w:rsid w:val="0056146C"/>
    <w:rsid w:val="00586AB3"/>
    <w:rsid w:val="005B2395"/>
    <w:rsid w:val="005D656F"/>
    <w:rsid w:val="005E3CF1"/>
    <w:rsid w:val="005E7D91"/>
    <w:rsid w:val="005F29FE"/>
    <w:rsid w:val="00600609"/>
    <w:rsid w:val="00611C18"/>
    <w:rsid w:val="00617AFA"/>
    <w:rsid w:val="00624ECD"/>
    <w:rsid w:val="00626F9A"/>
    <w:rsid w:val="006309C6"/>
    <w:rsid w:val="00655039"/>
    <w:rsid w:val="00674B40"/>
    <w:rsid w:val="00676B27"/>
    <w:rsid w:val="00683664"/>
    <w:rsid w:val="00690232"/>
    <w:rsid w:val="0069709B"/>
    <w:rsid w:val="006A2BC5"/>
    <w:rsid w:val="006B69AC"/>
    <w:rsid w:val="006C7080"/>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B0598"/>
    <w:rsid w:val="007D2950"/>
    <w:rsid w:val="007F35A3"/>
    <w:rsid w:val="00804382"/>
    <w:rsid w:val="00813CDD"/>
    <w:rsid w:val="00815281"/>
    <w:rsid w:val="00822409"/>
    <w:rsid w:val="00837395"/>
    <w:rsid w:val="008576C4"/>
    <w:rsid w:val="0086051A"/>
    <w:rsid w:val="008724BC"/>
    <w:rsid w:val="0087655F"/>
    <w:rsid w:val="008824BE"/>
    <w:rsid w:val="00893C7D"/>
    <w:rsid w:val="008944C5"/>
    <w:rsid w:val="008C05AE"/>
    <w:rsid w:val="008C37C2"/>
    <w:rsid w:val="008E3807"/>
    <w:rsid w:val="008E57AB"/>
    <w:rsid w:val="008F676F"/>
    <w:rsid w:val="00902D2B"/>
    <w:rsid w:val="00903FF4"/>
    <w:rsid w:val="0090708D"/>
    <w:rsid w:val="00907F7A"/>
    <w:rsid w:val="00927CC7"/>
    <w:rsid w:val="00941183"/>
    <w:rsid w:val="0095472D"/>
    <w:rsid w:val="00955BDF"/>
    <w:rsid w:val="00980D7B"/>
    <w:rsid w:val="00984135"/>
    <w:rsid w:val="009921AF"/>
    <w:rsid w:val="0099534A"/>
    <w:rsid w:val="009969DB"/>
    <w:rsid w:val="009A3BC3"/>
    <w:rsid w:val="009A5466"/>
    <w:rsid w:val="009B037A"/>
    <w:rsid w:val="009B24A1"/>
    <w:rsid w:val="009B650F"/>
    <w:rsid w:val="009C3AD9"/>
    <w:rsid w:val="009C44EF"/>
    <w:rsid w:val="009C4BD8"/>
    <w:rsid w:val="009D08EF"/>
    <w:rsid w:val="009E7677"/>
    <w:rsid w:val="009F6494"/>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C6572"/>
    <w:rsid w:val="00AD582C"/>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391B"/>
    <w:rsid w:val="00B84A46"/>
    <w:rsid w:val="00B92033"/>
    <w:rsid w:val="00B940C5"/>
    <w:rsid w:val="00BA0A1C"/>
    <w:rsid w:val="00BA6B2A"/>
    <w:rsid w:val="00BA7AFD"/>
    <w:rsid w:val="00BD3D83"/>
    <w:rsid w:val="00BD49FD"/>
    <w:rsid w:val="00BF4EAB"/>
    <w:rsid w:val="00BF5284"/>
    <w:rsid w:val="00C0597C"/>
    <w:rsid w:val="00C105F9"/>
    <w:rsid w:val="00C117D4"/>
    <w:rsid w:val="00C12D3A"/>
    <w:rsid w:val="00C218E5"/>
    <w:rsid w:val="00C46B99"/>
    <w:rsid w:val="00C63A02"/>
    <w:rsid w:val="00C70D47"/>
    <w:rsid w:val="00C71194"/>
    <w:rsid w:val="00C77D4A"/>
    <w:rsid w:val="00C84AF7"/>
    <w:rsid w:val="00C9002F"/>
    <w:rsid w:val="00CC4EBC"/>
    <w:rsid w:val="00CD1C48"/>
    <w:rsid w:val="00CD33FE"/>
    <w:rsid w:val="00CE351D"/>
    <w:rsid w:val="00CE3C5E"/>
    <w:rsid w:val="00CF6B51"/>
    <w:rsid w:val="00D03235"/>
    <w:rsid w:val="00D24F50"/>
    <w:rsid w:val="00D26FD9"/>
    <w:rsid w:val="00D3286F"/>
    <w:rsid w:val="00D360E7"/>
    <w:rsid w:val="00D74EB1"/>
    <w:rsid w:val="00D76BEB"/>
    <w:rsid w:val="00D90755"/>
    <w:rsid w:val="00D9186B"/>
    <w:rsid w:val="00D919E6"/>
    <w:rsid w:val="00DA41D7"/>
    <w:rsid w:val="00DA7358"/>
    <w:rsid w:val="00DB368D"/>
    <w:rsid w:val="00DC7026"/>
    <w:rsid w:val="00DE31D2"/>
    <w:rsid w:val="00DE38DB"/>
    <w:rsid w:val="00DE631F"/>
    <w:rsid w:val="00DF1043"/>
    <w:rsid w:val="00DF2D6D"/>
    <w:rsid w:val="00DF3A0A"/>
    <w:rsid w:val="00DF51A8"/>
    <w:rsid w:val="00DF6CF8"/>
    <w:rsid w:val="00E01CCA"/>
    <w:rsid w:val="00E17693"/>
    <w:rsid w:val="00E17760"/>
    <w:rsid w:val="00E25781"/>
    <w:rsid w:val="00E51E31"/>
    <w:rsid w:val="00E54A88"/>
    <w:rsid w:val="00E57064"/>
    <w:rsid w:val="00E6139F"/>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11020"/>
    <w:rsid w:val="00F22040"/>
    <w:rsid w:val="00F625A8"/>
    <w:rsid w:val="00F731C3"/>
    <w:rsid w:val="00F76F4B"/>
    <w:rsid w:val="00F808E4"/>
    <w:rsid w:val="00F9596C"/>
    <w:rsid w:val="00FA09BF"/>
    <w:rsid w:val="00FA0C27"/>
    <w:rsid w:val="00FA173A"/>
    <w:rsid w:val="00FA42C5"/>
    <w:rsid w:val="00FA61B7"/>
    <w:rsid w:val="00FA7D2C"/>
    <w:rsid w:val="00FA7EE8"/>
    <w:rsid w:val="00FC5A63"/>
    <w:rsid w:val="00FD66A9"/>
    <w:rsid w:val="00FE006F"/>
    <w:rsid w:val="00FF038C"/>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9B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634821">
      <w:bodyDiv w:val="1"/>
      <w:marLeft w:val="0"/>
      <w:marRight w:val="0"/>
      <w:marTop w:val="0"/>
      <w:marBottom w:val="0"/>
      <w:divBdr>
        <w:top w:val="none" w:sz="0" w:space="0" w:color="auto"/>
        <w:left w:val="none" w:sz="0" w:space="0" w:color="auto"/>
        <w:bottom w:val="none" w:sz="0" w:space="0" w:color="auto"/>
        <w:right w:val="none" w:sz="0" w:space="0" w:color="auto"/>
      </w:divBdr>
      <w:divsChild>
        <w:div w:id="770930835">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sChild>
    </w:div>
    <w:div w:id="1801537096">
      <w:bodyDiv w:val="1"/>
      <w:marLeft w:val="0"/>
      <w:marRight w:val="0"/>
      <w:marTop w:val="0"/>
      <w:marBottom w:val="0"/>
      <w:divBdr>
        <w:top w:val="none" w:sz="0" w:space="0" w:color="auto"/>
        <w:left w:val="none" w:sz="0" w:space="0" w:color="auto"/>
        <w:bottom w:val="none" w:sz="0" w:space="0" w:color="auto"/>
        <w:right w:val="none" w:sz="0" w:space="0" w:color="auto"/>
      </w:divBdr>
      <w:divsChild>
        <w:div w:id="777137927">
          <w:marLeft w:val="0"/>
          <w:marRight w:val="0"/>
          <w:marTop w:val="0"/>
          <w:marBottom w:val="0"/>
          <w:divBdr>
            <w:top w:val="none" w:sz="0" w:space="0" w:color="auto"/>
            <w:left w:val="none" w:sz="0" w:space="0" w:color="auto"/>
            <w:bottom w:val="none" w:sz="0" w:space="0" w:color="auto"/>
            <w:right w:val="none" w:sz="0" w:space="0" w:color="auto"/>
          </w:divBdr>
        </w:div>
        <w:div w:id="594943014">
          <w:marLeft w:val="0"/>
          <w:marRight w:val="0"/>
          <w:marTop w:val="0"/>
          <w:marBottom w:val="0"/>
          <w:divBdr>
            <w:top w:val="none" w:sz="0" w:space="0" w:color="auto"/>
            <w:left w:val="none" w:sz="0" w:space="0" w:color="auto"/>
            <w:bottom w:val="none" w:sz="0" w:space="0" w:color="auto"/>
            <w:right w:val="none" w:sz="0" w:space="0" w:color="auto"/>
          </w:divBdr>
        </w:div>
        <w:div w:id="1613785165">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haltpavement.org/programs/napa-events/decarbonization-conference" TargetMode="External"/><Relationship Id="rId5" Type="http://schemas.openxmlformats.org/officeDocument/2006/relationships/footnotes" Target="footnotes.xml"/><Relationship Id="rId10" Type="http://schemas.openxmlformats.org/officeDocument/2006/relationships/hyperlink" Target="https://cvent.me/MlgyAw" TargetMode="External"/><Relationship Id="rId4" Type="http://schemas.openxmlformats.org/officeDocument/2006/relationships/webSettings" Target="webSettings.xml"/><Relationship Id="rId9" Type="http://schemas.openxmlformats.org/officeDocument/2006/relationships/hyperlink" Target="https://www.asphaltpavement.org/news-resources/subscri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978</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4</cp:revision>
  <cp:lastPrinted>2017-10-17T15:00:00Z</cp:lastPrinted>
  <dcterms:created xsi:type="dcterms:W3CDTF">2024-10-03T15:54:00Z</dcterms:created>
  <dcterms:modified xsi:type="dcterms:W3CDTF">2024-10-03T17:57:00Z</dcterms:modified>
</cp:coreProperties>
</file>